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Request for Applications (RFA)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Strategic Purchasing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Basic Package of Health Services (BPHS) and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Essential Package of Hospital Services (EPHS)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Kabul, Afghanistan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A0633-2021-RFA-1</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bl>
      <w:tblPr>
        <w:tblStyle w:val="Table1"/>
        <w:tblW w:w="10350.0" w:type="dxa"/>
        <w:jc w:val="left"/>
        <w:tblInd w:w="-630.0" w:type="dxa"/>
        <w:tblBorders>
          <w:top w:color="000000" w:space="0" w:sz="0" w:val="nil"/>
          <w:left w:color="000000" w:space="0" w:sz="0" w:val="nil"/>
          <w:bottom w:color="000000" w:space="0" w:sz="0" w:val="nil"/>
          <w:right w:color="000000" w:space="0" w:sz="0" w:val="nil"/>
        </w:tblBorders>
        <w:tblLayout w:type="fixed"/>
        <w:tblLook w:val="0000"/>
      </w:tblPr>
      <w:tblGrid>
        <w:gridCol w:w="10350"/>
        <w:tblGridChange w:id="0">
          <w:tblGrid>
            <w:gridCol w:w="10350"/>
          </w:tblGrid>
        </w:tblGridChange>
      </w:tblGrid>
      <w:tr>
        <w:trPr>
          <w:trHeight w:val="1605" w:hRule="atLeast"/>
        </w:trPr>
        <w:tc>
          <w:tcPr/>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Management Sciences for Health (MSH) </w:t>
            </w:r>
            <w:r w:rsidDel="00000000" w:rsidR="00000000" w:rsidRPr="00000000">
              <w:rPr>
                <w:rFonts w:ascii="Times New Roman" w:cs="Times New Roman" w:eastAsia="Times New Roman" w:hAnsi="Times New Roman"/>
                <w:rtl w:val="0"/>
              </w:rPr>
              <w:t xml:space="preserve">seeking applications from interested Firms/Organizations/Institutions, which have the capacity and experience to conduct strategic purchasing to provide technical support under the USAID-funded Assistance for Families and Indigent Afghans to Thrive (AFIAT) objective 4, Strengthen the Government’s Commitment and Capacity to Plan, Finance and Manage the Health System in both Public and Private in Afghanistan for a 12-month period (ideally August 2021 – June 2022).</w:t>
            </w:r>
          </w:p>
          <w:p w:rsidR="00000000" w:rsidDel="00000000" w:rsidP="00000000" w:rsidRDefault="00000000" w:rsidRPr="00000000" w14:paraId="00000009">
            <w:pPr>
              <w:spacing w:after="0" w:lineRule="auto"/>
              <w:ind w:right="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Purpose: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selected organization shall have  the capacity and experience to conduct strategic purchasing to provide technical support under the USAID-funded Assistance for Families and Indigent Afghans to Thrive (AFIAT) objective 4, Strengthen the Government’s Commitment and Capacity to Plan, Finance and Manage the Health System in both Public and Private. The selected organization will provide technical support based on the proposed work plan for the year one and two of the project. This scope of work is developed to cover in-country (for an international organizations: three trips to Kabul during the service duration) and remote support provided by the selected organization. More specifically, the company will work closely with the AFIAT Health System Strengthening (HSS) team in-country which includes 4 local consultants embedded within the MoPH’s Grant and Contract Management Unit (GCMU) and other Sehatmandi stakeholders (National Procurement Authority (NPA), Ministry of Finance, United States Agency for International Development [USAID], World Bank, European Union, etc.) in the following areas: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Afghanistan’s experience with the contracting-out mechanism and the performance management system from a strategic purchasing perspective. Through the document reviews and key informant interviews, the assessment examines specifically the procurement procedures employed under the previous BPHS and EPHS contracts and identifies areas to improve to generate greater outcomes of the MoPH interest.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 lessons learned from off-budget technical and financial assistance to BPHS and EPHS and make recommendations to streamline the off-budget projects to the BPHS and EPHS contract design for the next round of Sehatmandi project.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a procurement manual on consultancy and non-consultancy service before the next round of Sehatmandi project gets started.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hands-on technical assistance to GCMU to expedite contract management of the Sehatmandi project extension starting in July 2021 and to prepare for the strategic purchasing of the service providers in the follow-on project (tentatively scheduled for the period of 2022-2025)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 technical resource for GCMU while they develop procurement documents to be approved by the MoPH, WB and NTA.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Mentor GCMU staff, including AFIAT consultants embedded in GCMU, on identified areas of expertise (according to Year 1 and 2 approved workplans)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available for ad hoc technical questions and requests from AFIAT field team and GCMU.</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Interested applicants are requested to collect bidding documents via e-mail. Please send your request to </w:t>
            </w:r>
            <w:hyperlink r:id="rId6">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afprocurement@afiat.org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the subject line: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A0633-2021-RFA-1-Bidding Documents”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Submission of Applications: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Applications, in the required format, must be received by MSH no later than August 2, 2021 5:00 pm US EDT (Eastern Daylight Time), as indicated in the RFA. Applications shall be submitted via email to: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afprocurement@afiat.org</w:t>
              </w:r>
            </w:hyperlink>
            <w:r w:rsidDel="00000000" w:rsidR="00000000" w:rsidRPr="00000000">
              <w:rPr>
                <w:rtl w:val="0"/>
              </w:rPr>
            </w:r>
          </w:p>
        </w:tc>
      </w:tr>
    </w:tbl>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pgSz w:h="15840" w:w="12240" w:orient="portrait"/>
      <w:pgMar w:bottom="99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ind w:left="720" w:firstLine="0"/>
    </w:pPr>
    <w:rPr>
      <w:b w:val="1"/>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fprocurement@afiat.org" TargetMode="External"/><Relationship Id="rId7" Type="http://schemas.openxmlformats.org/officeDocument/2006/relationships/hyperlink" Target="mailto:afprocurement@afi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